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72" w:rsidRPr="00CC768B" w:rsidRDefault="004653EF" w:rsidP="00DE2472">
      <w:pPr>
        <w:rPr>
          <w:rFonts w:cs="Times New Roman"/>
          <w:b/>
          <w:iCs/>
          <w:sz w:val="24"/>
          <w:szCs w:val="24"/>
          <w:u w:val="single"/>
        </w:rPr>
      </w:pPr>
      <w:r>
        <w:rPr>
          <w:rFonts w:cs="Times New Roman"/>
          <w:b/>
          <w:iCs/>
          <w:sz w:val="24"/>
          <w:szCs w:val="24"/>
          <w:u w:val="single"/>
        </w:rPr>
        <w:t>Census Subdivision</w:t>
      </w:r>
      <w:r w:rsidR="00A604BB" w:rsidRPr="00CC768B">
        <w:rPr>
          <w:rFonts w:cs="Times New Roman"/>
          <w:b/>
          <w:iCs/>
          <w:sz w:val="24"/>
          <w:szCs w:val="24"/>
          <w:u w:val="single"/>
        </w:rPr>
        <w:t xml:space="preserve"> Quality Note: T1FF Data </w:t>
      </w:r>
      <w:r w:rsidR="00D05D7B" w:rsidRPr="00CC768B">
        <w:rPr>
          <w:rFonts w:cs="Times New Roman"/>
          <w:b/>
          <w:iCs/>
          <w:sz w:val="24"/>
          <w:szCs w:val="24"/>
          <w:u w:val="single"/>
        </w:rPr>
        <w:t>P</w:t>
      </w:r>
      <w:r w:rsidR="00A604BB" w:rsidRPr="00CC768B">
        <w:rPr>
          <w:rFonts w:cs="Times New Roman"/>
          <w:b/>
          <w:iCs/>
          <w:sz w:val="24"/>
          <w:szCs w:val="24"/>
          <w:u w:val="single"/>
        </w:rPr>
        <w:t>roduced on Census Geography</w:t>
      </w:r>
    </w:p>
    <w:p w:rsidR="00A604BB" w:rsidRPr="00CC768B" w:rsidRDefault="00A604BB" w:rsidP="00DE2472">
      <w:pPr>
        <w:rPr>
          <w:rFonts w:cs="Times New Roman"/>
          <w:iCs/>
          <w:sz w:val="24"/>
          <w:szCs w:val="24"/>
        </w:rPr>
      </w:pPr>
    </w:p>
    <w:p w:rsidR="00DE2472" w:rsidRPr="0044331C" w:rsidRDefault="00DE2472" w:rsidP="0045710D">
      <w:pPr>
        <w:ind w:left="-284" w:right="-563"/>
        <w:rPr>
          <w:rFonts w:cs="Times New Roman"/>
          <w:iCs/>
          <w:sz w:val="24"/>
          <w:szCs w:val="24"/>
        </w:rPr>
      </w:pPr>
      <w:r w:rsidRPr="0044331C">
        <w:rPr>
          <w:rFonts w:cs="Times New Roman"/>
          <w:iCs/>
          <w:sz w:val="24"/>
          <w:szCs w:val="24"/>
        </w:rPr>
        <w:t xml:space="preserve">You are contemplating the </w:t>
      </w:r>
      <w:r w:rsidR="00A40658" w:rsidRPr="0044331C">
        <w:rPr>
          <w:rFonts w:cs="Times New Roman"/>
          <w:iCs/>
          <w:sz w:val="24"/>
          <w:szCs w:val="24"/>
        </w:rPr>
        <w:t>using</w:t>
      </w:r>
      <w:r w:rsidRPr="0044331C">
        <w:rPr>
          <w:rFonts w:cs="Times New Roman"/>
          <w:iCs/>
          <w:sz w:val="24"/>
          <w:szCs w:val="24"/>
        </w:rPr>
        <w:t xml:space="preserve"> </w:t>
      </w:r>
      <w:r w:rsidR="001628DC" w:rsidRPr="0044331C">
        <w:rPr>
          <w:rFonts w:cs="Times New Roman"/>
          <w:iCs/>
          <w:sz w:val="24"/>
          <w:szCs w:val="24"/>
        </w:rPr>
        <w:t xml:space="preserve">taxfiler data from the </w:t>
      </w:r>
      <w:r w:rsidR="00A604BB" w:rsidRPr="0044331C">
        <w:rPr>
          <w:rFonts w:cs="Times New Roman"/>
          <w:iCs/>
          <w:sz w:val="24"/>
          <w:szCs w:val="24"/>
        </w:rPr>
        <w:t xml:space="preserve">T1 Family File (T1FF) </w:t>
      </w:r>
      <w:r w:rsidRPr="0044331C">
        <w:rPr>
          <w:rFonts w:cs="Times New Roman"/>
          <w:iCs/>
          <w:sz w:val="24"/>
          <w:szCs w:val="24"/>
        </w:rPr>
        <w:t xml:space="preserve">data </w:t>
      </w:r>
      <w:r w:rsidR="00A604BB" w:rsidRPr="0044331C">
        <w:rPr>
          <w:rFonts w:cs="Times New Roman"/>
          <w:iCs/>
          <w:sz w:val="24"/>
          <w:szCs w:val="24"/>
        </w:rPr>
        <w:t>based census geography</w:t>
      </w:r>
      <w:r w:rsidRPr="0044331C">
        <w:rPr>
          <w:rFonts w:cs="Times New Roman"/>
          <w:iCs/>
          <w:sz w:val="24"/>
          <w:szCs w:val="24"/>
        </w:rPr>
        <w:t xml:space="preserve">. The T1FF database is </w:t>
      </w:r>
      <w:r w:rsidR="00A604BB" w:rsidRPr="0044331C">
        <w:rPr>
          <w:rFonts w:cs="Times New Roman"/>
          <w:iCs/>
          <w:sz w:val="24"/>
          <w:szCs w:val="24"/>
        </w:rPr>
        <w:t xml:space="preserve">comprised of </w:t>
      </w:r>
      <w:r w:rsidRPr="0044331C">
        <w:rPr>
          <w:rFonts w:cs="Times New Roman"/>
          <w:iCs/>
          <w:sz w:val="24"/>
          <w:szCs w:val="24"/>
        </w:rPr>
        <w:t>records aggregated at the Postal Code level. In or</w:t>
      </w:r>
      <w:bookmarkStart w:id="0" w:name="_GoBack"/>
      <w:bookmarkEnd w:id="0"/>
      <w:r w:rsidRPr="0044331C">
        <w:rPr>
          <w:rFonts w:cs="Times New Roman"/>
          <w:iCs/>
          <w:sz w:val="24"/>
          <w:szCs w:val="24"/>
        </w:rPr>
        <w:t xml:space="preserve">der to provide T1FF data </w:t>
      </w:r>
      <w:r w:rsidR="00A604BB" w:rsidRPr="0044331C">
        <w:rPr>
          <w:rFonts w:cs="Times New Roman"/>
          <w:iCs/>
          <w:sz w:val="24"/>
          <w:szCs w:val="24"/>
        </w:rPr>
        <w:t>on census geography</w:t>
      </w:r>
      <w:r w:rsidRPr="0044331C">
        <w:rPr>
          <w:rFonts w:cs="Times New Roman"/>
          <w:iCs/>
          <w:sz w:val="24"/>
          <w:szCs w:val="24"/>
        </w:rPr>
        <w:t xml:space="preserve"> boundaries, postal geography </w:t>
      </w:r>
      <w:r w:rsidR="00A604BB" w:rsidRPr="0044331C">
        <w:rPr>
          <w:rFonts w:cs="Times New Roman"/>
          <w:iCs/>
          <w:sz w:val="24"/>
          <w:szCs w:val="24"/>
        </w:rPr>
        <w:t>has to be converted</w:t>
      </w:r>
      <w:r w:rsidRPr="0044331C">
        <w:rPr>
          <w:rFonts w:cs="Times New Roman"/>
          <w:iCs/>
          <w:sz w:val="24"/>
          <w:szCs w:val="24"/>
        </w:rPr>
        <w:t xml:space="preserve"> into census geography. To obtain a correspondence between the</w:t>
      </w:r>
      <w:r w:rsidR="00A604BB" w:rsidRPr="0044331C">
        <w:rPr>
          <w:rFonts w:cs="Times New Roman"/>
          <w:iCs/>
          <w:sz w:val="24"/>
          <w:szCs w:val="24"/>
        </w:rPr>
        <w:t xml:space="preserve">se two types of </w:t>
      </w:r>
      <w:r w:rsidRPr="0044331C">
        <w:rPr>
          <w:rFonts w:cs="Times New Roman"/>
          <w:iCs/>
          <w:sz w:val="24"/>
          <w:szCs w:val="24"/>
        </w:rPr>
        <w:t>geographies, the “Postal Code Conversion File (PCCF)”</w:t>
      </w:r>
      <w:r w:rsidR="00FA71DB" w:rsidRPr="0044331C">
        <w:rPr>
          <w:rFonts w:cs="Times New Roman"/>
          <w:iCs/>
          <w:sz w:val="24"/>
          <w:szCs w:val="24"/>
        </w:rPr>
        <w:t xml:space="preserve"> </w:t>
      </w:r>
      <w:r w:rsidRPr="0044331C">
        <w:rPr>
          <w:rFonts w:cs="Times New Roman"/>
          <w:iCs/>
          <w:sz w:val="24"/>
          <w:szCs w:val="24"/>
        </w:rPr>
        <w:t xml:space="preserve">produced by Statistics Canada is used. The PCCF is a file which provides a correspondence of the six-character Postal Code and census </w:t>
      </w:r>
      <w:r w:rsidR="00A604BB" w:rsidRPr="0044331C">
        <w:rPr>
          <w:rFonts w:cs="Times New Roman"/>
          <w:iCs/>
          <w:sz w:val="24"/>
          <w:szCs w:val="24"/>
        </w:rPr>
        <w:t xml:space="preserve">geography </w:t>
      </w:r>
      <w:r w:rsidRPr="0044331C">
        <w:rPr>
          <w:rFonts w:cs="Times New Roman"/>
          <w:iCs/>
          <w:sz w:val="24"/>
          <w:szCs w:val="24"/>
        </w:rPr>
        <w:t xml:space="preserve">(see the list below). Federal Electoral Districts (FED) are also included on the PCCF. Postal Codes do not respect census geographic boundaries and therefore are often linked to more than one census geographic </w:t>
      </w:r>
      <w:r w:rsidR="001E5100" w:rsidRPr="0044331C">
        <w:rPr>
          <w:rFonts w:cs="Times New Roman"/>
          <w:iCs/>
          <w:sz w:val="24"/>
          <w:szCs w:val="24"/>
        </w:rPr>
        <w:t xml:space="preserve">area </w:t>
      </w:r>
      <w:r w:rsidRPr="0044331C">
        <w:rPr>
          <w:rFonts w:cs="Times New Roman"/>
          <w:iCs/>
          <w:sz w:val="24"/>
          <w:szCs w:val="24"/>
        </w:rPr>
        <w:t xml:space="preserve">(or FED) of the same type. For example, a Postal Code can easily span over 2 </w:t>
      </w:r>
      <w:r w:rsidR="00FA71DB" w:rsidRPr="0044331C">
        <w:rPr>
          <w:rFonts w:cs="Times New Roman"/>
          <w:iCs/>
          <w:sz w:val="24"/>
          <w:szCs w:val="24"/>
        </w:rPr>
        <w:t xml:space="preserve">or more </w:t>
      </w:r>
      <w:r w:rsidRPr="0044331C">
        <w:rPr>
          <w:rFonts w:cs="Times New Roman"/>
          <w:iCs/>
          <w:sz w:val="24"/>
          <w:szCs w:val="24"/>
        </w:rPr>
        <w:t xml:space="preserve">census subdivisions in a rural area or over 2 </w:t>
      </w:r>
      <w:r w:rsidR="00FA71DB" w:rsidRPr="0044331C">
        <w:rPr>
          <w:rFonts w:cs="Times New Roman"/>
          <w:iCs/>
          <w:sz w:val="24"/>
          <w:szCs w:val="24"/>
        </w:rPr>
        <w:t xml:space="preserve">or more </w:t>
      </w:r>
      <w:r w:rsidRPr="0044331C">
        <w:rPr>
          <w:rFonts w:cs="Times New Roman"/>
          <w:iCs/>
          <w:sz w:val="24"/>
          <w:szCs w:val="24"/>
        </w:rPr>
        <w:t xml:space="preserve">census tracts in an urban area. </w:t>
      </w:r>
      <w:r w:rsidR="0044331C" w:rsidRPr="0044331C">
        <w:rPr>
          <w:rFonts w:cs="Times New Roman"/>
          <w:iCs/>
          <w:sz w:val="24"/>
          <w:szCs w:val="24"/>
        </w:rPr>
        <w:t>Therefore,</w:t>
      </w:r>
      <w:r w:rsidR="00FA71DB" w:rsidRPr="0044331C">
        <w:rPr>
          <w:rFonts w:cs="Times New Roman"/>
          <w:iCs/>
          <w:sz w:val="24"/>
          <w:szCs w:val="24"/>
        </w:rPr>
        <w:t xml:space="preserve"> on the </w:t>
      </w:r>
      <w:r w:rsidRPr="0044331C">
        <w:rPr>
          <w:rFonts w:cs="Times New Roman"/>
          <w:iCs/>
          <w:sz w:val="24"/>
          <w:szCs w:val="24"/>
        </w:rPr>
        <w:t>PCCF</w:t>
      </w:r>
      <w:r w:rsidR="00B42708" w:rsidRPr="0044331C">
        <w:rPr>
          <w:rFonts w:cs="Times New Roman"/>
          <w:iCs/>
          <w:sz w:val="24"/>
          <w:szCs w:val="24"/>
        </w:rPr>
        <w:t>,</w:t>
      </w:r>
      <w:r w:rsidRPr="0044331C">
        <w:rPr>
          <w:rFonts w:cs="Times New Roman"/>
          <w:iCs/>
          <w:sz w:val="24"/>
          <w:szCs w:val="24"/>
        </w:rPr>
        <w:t xml:space="preserve"> a single link indicator (SLI) variable </w:t>
      </w:r>
      <w:r w:rsidR="00B42708" w:rsidRPr="0044331C">
        <w:rPr>
          <w:rFonts w:cs="Times New Roman"/>
          <w:iCs/>
          <w:sz w:val="24"/>
          <w:szCs w:val="24"/>
        </w:rPr>
        <w:t xml:space="preserve">exists </w:t>
      </w:r>
      <w:r w:rsidR="00FA71DB" w:rsidRPr="0044331C">
        <w:rPr>
          <w:rFonts w:cs="Times New Roman"/>
          <w:iCs/>
          <w:sz w:val="24"/>
          <w:szCs w:val="24"/>
        </w:rPr>
        <w:t xml:space="preserve">for all </w:t>
      </w:r>
      <w:r w:rsidRPr="0044331C">
        <w:rPr>
          <w:rFonts w:cs="Times New Roman"/>
          <w:iCs/>
          <w:sz w:val="24"/>
          <w:szCs w:val="24"/>
        </w:rPr>
        <w:t>Postal Codes</w:t>
      </w:r>
      <w:r w:rsidR="00B42708" w:rsidRPr="0044331C">
        <w:rPr>
          <w:rFonts w:cs="Times New Roman"/>
          <w:iCs/>
          <w:sz w:val="24"/>
          <w:szCs w:val="24"/>
        </w:rPr>
        <w:t>. T</w:t>
      </w:r>
      <w:r w:rsidR="00FA71DB" w:rsidRPr="0044331C">
        <w:rPr>
          <w:rFonts w:cs="Times New Roman"/>
          <w:iCs/>
          <w:sz w:val="24"/>
          <w:szCs w:val="24"/>
        </w:rPr>
        <w:t xml:space="preserve">he best </w:t>
      </w:r>
      <w:r w:rsidR="00CC768B" w:rsidRPr="0044331C">
        <w:rPr>
          <w:rFonts w:cs="Times New Roman"/>
          <w:iCs/>
          <w:sz w:val="24"/>
          <w:szCs w:val="24"/>
        </w:rPr>
        <w:t>“</w:t>
      </w:r>
      <w:r w:rsidR="00FA71DB" w:rsidRPr="0044331C">
        <w:rPr>
          <w:rFonts w:cs="Times New Roman"/>
          <w:iCs/>
          <w:sz w:val="24"/>
          <w:szCs w:val="24"/>
        </w:rPr>
        <w:t xml:space="preserve">census </w:t>
      </w:r>
      <w:r w:rsidR="00597DE3" w:rsidRPr="0044331C">
        <w:rPr>
          <w:rFonts w:cs="Times New Roman"/>
          <w:iCs/>
          <w:sz w:val="24"/>
          <w:szCs w:val="24"/>
        </w:rPr>
        <w:t xml:space="preserve">subdivision </w:t>
      </w:r>
      <w:r w:rsidR="00FA71DB" w:rsidRPr="0044331C">
        <w:rPr>
          <w:rFonts w:cs="Times New Roman"/>
          <w:iCs/>
          <w:sz w:val="24"/>
          <w:szCs w:val="24"/>
        </w:rPr>
        <w:t>/ Postal Code</w:t>
      </w:r>
      <w:r w:rsidR="00CC768B" w:rsidRPr="0044331C">
        <w:rPr>
          <w:rFonts w:cs="Times New Roman"/>
          <w:iCs/>
          <w:sz w:val="24"/>
          <w:szCs w:val="24"/>
        </w:rPr>
        <w:t>”</w:t>
      </w:r>
      <w:r w:rsidR="00FA71DB" w:rsidRPr="0044331C">
        <w:rPr>
          <w:rFonts w:cs="Times New Roman"/>
          <w:iCs/>
          <w:sz w:val="24"/>
          <w:szCs w:val="24"/>
        </w:rPr>
        <w:t xml:space="preserve"> combination </w:t>
      </w:r>
      <w:r w:rsidR="00B42708" w:rsidRPr="0044331C">
        <w:rPr>
          <w:rFonts w:cs="Times New Roman"/>
          <w:iCs/>
          <w:sz w:val="24"/>
          <w:szCs w:val="24"/>
        </w:rPr>
        <w:t xml:space="preserve">to be used for the assignment of census geography </w:t>
      </w:r>
      <w:r w:rsidR="00FA71DB" w:rsidRPr="0044331C">
        <w:rPr>
          <w:rFonts w:cs="Times New Roman"/>
          <w:iCs/>
          <w:sz w:val="24"/>
          <w:szCs w:val="24"/>
        </w:rPr>
        <w:t xml:space="preserve">in cases of </w:t>
      </w:r>
      <w:r w:rsidRPr="0044331C">
        <w:rPr>
          <w:rFonts w:cs="Times New Roman"/>
          <w:iCs/>
          <w:sz w:val="24"/>
          <w:szCs w:val="24"/>
        </w:rPr>
        <w:t xml:space="preserve">multiple </w:t>
      </w:r>
      <w:r w:rsidR="00597DE3" w:rsidRPr="0044331C">
        <w:rPr>
          <w:rFonts w:cs="Times New Roman"/>
          <w:iCs/>
          <w:sz w:val="24"/>
          <w:szCs w:val="24"/>
        </w:rPr>
        <w:t>census subdivisions</w:t>
      </w:r>
      <w:r w:rsidRPr="0044331C">
        <w:rPr>
          <w:rFonts w:cs="Times New Roman"/>
          <w:iCs/>
          <w:sz w:val="24"/>
          <w:szCs w:val="24"/>
        </w:rPr>
        <w:t xml:space="preserve"> </w:t>
      </w:r>
      <w:r w:rsidR="00B42708" w:rsidRPr="0044331C">
        <w:rPr>
          <w:rFonts w:cs="Times New Roman"/>
          <w:iCs/>
          <w:sz w:val="24"/>
          <w:szCs w:val="24"/>
        </w:rPr>
        <w:t xml:space="preserve">to a specific Postal Code </w:t>
      </w:r>
      <w:r w:rsidR="00BA4C66" w:rsidRPr="0044331C">
        <w:rPr>
          <w:rFonts w:cs="Times New Roman"/>
          <w:iCs/>
          <w:sz w:val="24"/>
          <w:szCs w:val="24"/>
        </w:rPr>
        <w:t xml:space="preserve">will </w:t>
      </w:r>
      <w:r w:rsidR="00B42708" w:rsidRPr="0044331C">
        <w:rPr>
          <w:rFonts w:cs="Times New Roman"/>
          <w:iCs/>
          <w:sz w:val="24"/>
          <w:szCs w:val="24"/>
        </w:rPr>
        <w:t xml:space="preserve">have an SLI value of 1. </w:t>
      </w:r>
    </w:p>
    <w:p w:rsidR="00DE2472" w:rsidRPr="0044331C" w:rsidRDefault="00DE2472">
      <w:pPr>
        <w:rPr>
          <w:rFonts w:cs="Times New Roman"/>
          <w:iCs/>
          <w:sz w:val="24"/>
          <w:szCs w:val="24"/>
        </w:rPr>
      </w:pPr>
    </w:p>
    <w:p w:rsidR="00F21D90" w:rsidRPr="0044331C" w:rsidRDefault="00BC5180" w:rsidP="0045710D">
      <w:pPr>
        <w:ind w:left="-284" w:right="-563"/>
        <w:rPr>
          <w:rFonts w:cs="Times New Roman"/>
          <w:iCs/>
          <w:sz w:val="24"/>
          <w:szCs w:val="24"/>
        </w:rPr>
      </w:pPr>
      <w:r w:rsidRPr="0044331C">
        <w:rPr>
          <w:rFonts w:cs="Times New Roman"/>
          <w:iCs/>
          <w:sz w:val="24"/>
          <w:szCs w:val="24"/>
        </w:rPr>
        <w:t xml:space="preserve">The method used to establish the single link indicator between a Postal Code and a </w:t>
      </w:r>
      <w:r w:rsidR="00597DE3" w:rsidRPr="0044331C">
        <w:rPr>
          <w:rFonts w:cs="Times New Roman"/>
          <w:iCs/>
          <w:sz w:val="24"/>
          <w:szCs w:val="24"/>
        </w:rPr>
        <w:t>CSD</w:t>
      </w:r>
      <w:r w:rsidRPr="0044331C">
        <w:rPr>
          <w:rFonts w:cs="Times New Roman"/>
          <w:iCs/>
          <w:sz w:val="24"/>
          <w:szCs w:val="24"/>
        </w:rPr>
        <w:t xml:space="preserve"> is m</w:t>
      </w:r>
      <w:r w:rsidR="00D05D7B" w:rsidRPr="0044331C">
        <w:rPr>
          <w:rFonts w:cs="Times New Roman"/>
          <w:iCs/>
          <w:sz w:val="24"/>
          <w:szCs w:val="24"/>
        </w:rPr>
        <w:t>ainly</w:t>
      </w:r>
      <w:r w:rsidRPr="0044331C">
        <w:rPr>
          <w:rFonts w:cs="Times New Roman"/>
          <w:iCs/>
          <w:sz w:val="24"/>
          <w:szCs w:val="24"/>
        </w:rPr>
        <w:t xml:space="preserve"> based on the dwelling distribution </w:t>
      </w:r>
      <w:r w:rsidR="00CC768B" w:rsidRPr="0044331C">
        <w:rPr>
          <w:rFonts w:cs="Times New Roman"/>
          <w:iCs/>
          <w:sz w:val="24"/>
          <w:szCs w:val="24"/>
        </w:rPr>
        <w:t xml:space="preserve">for </w:t>
      </w:r>
      <w:r w:rsidR="00F21D90" w:rsidRPr="0044331C">
        <w:rPr>
          <w:rFonts w:cs="Times New Roman"/>
          <w:iCs/>
          <w:sz w:val="24"/>
          <w:szCs w:val="24"/>
        </w:rPr>
        <w:t>a specific Po</w:t>
      </w:r>
      <w:r w:rsidRPr="0044331C">
        <w:rPr>
          <w:rFonts w:cs="Times New Roman"/>
          <w:iCs/>
          <w:sz w:val="24"/>
          <w:szCs w:val="24"/>
        </w:rPr>
        <w:t xml:space="preserve">stal </w:t>
      </w:r>
      <w:r w:rsidR="00F21D90" w:rsidRPr="0044331C">
        <w:rPr>
          <w:rFonts w:cs="Times New Roman"/>
          <w:iCs/>
          <w:sz w:val="24"/>
          <w:szCs w:val="24"/>
        </w:rPr>
        <w:t>C</w:t>
      </w:r>
      <w:r w:rsidRPr="0044331C">
        <w:rPr>
          <w:rFonts w:cs="Times New Roman"/>
          <w:iCs/>
          <w:sz w:val="24"/>
          <w:szCs w:val="24"/>
        </w:rPr>
        <w:t xml:space="preserve">ode between the different </w:t>
      </w:r>
      <w:r w:rsidR="00597DE3" w:rsidRPr="0044331C">
        <w:rPr>
          <w:rFonts w:cs="Times New Roman"/>
          <w:iCs/>
          <w:sz w:val="24"/>
          <w:szCs w:val="24"/>
        </w:rPr>
        <w:t>CSD</w:t>
      </w:r>
      <w:r w:rsidR="00B42708" w:rsidRPr="0044331C">
        <w:rPr>
          <w:rFonts w:cs="Times New Roman"/>
          <w:iCs/>
          <w:sz w:val="24"/>
          <w:szCs w:val="24"/>
        </w:rPr>
        <w:t>s</w:t>
      </w:r>
      <w:r w:rsidR="00541690" w:rsidRPr="0044331C">
        <w:rPr>
          <w:rFonts w:cs="Times New Roman"/>
          <w:iCs/>
          <w:sz w:val="24"/>
          <w:szCs w:val="24"/>
        </w:rPr>
        <w:t xml:space="preserve">. </w:t>
      </w:r>
      <w:r w:rsidRPr="0044331C">
        <w:rPr>
          <w:rFonts w:cs="Times New Roman"/>
          <w:iCs/>
          <w:sz w:val="24"/>
          <w:szCs w:val="24"/>
        </w:rPr>
        <w:t>For example</w:t>
      </w:r>
      <w:r w:rsidR="00CC768B" w:rsidRPr="0044331C">
        <w:rPr>
          <w:rFonts w:cs="Times New Roman"/>
          <w:iCs/>
          <w:sz w:val="24"/>
          <w:szCs w:val="24"/>
        </w:rPr>
        <w:t>,</w:t>
      </w:r>
      <w:r w:rsidRPr="0044331C">
        <w:rPr>
          <w:rFonts w:cs="Times New Roman"/>
          <w:iCs/>
          <w:sz w:val="24"/>
          <w:szCs w:val="24"/>
        </w:rPr>
        <w:t xml:space="preserve"> if a </w:t>
      </w:r>
      <w:r w:rsidR="00DE2472" w:rsidRPr="0044331C">
        <w:rPr>
          <w:rFonts w:cs="Times New Roman"/>
          <w:iCs/>
          <w:sz w:val="24"/>
          <w:szCs w:val="24"/>
        </w:rPr>
        <w:t>P</w:t>
      </w:r>
      <w:r w:rsidRPr="0044331C">
        <w:rPr>
          <w:rFonts w:cs="Times New Roman"/>
          <w:iCs/>
          <w:sz w:val="24"/>
          <w:szCs w:val="24"/>
        </w:rPr>
        <w:t xml:space="preserve">ostal </w:t>
      </w:r>
      <w:r w:rsidR="00DE2472" w:rsidRPr="0044331C">
        <w:rPr>
          <w:rFonts w:cs="Times New Roman"/>
          <w:iCs/>
          <w:sz w:val="24"/>
          <w:szCs w:val="24"/>
        </w:rPr>
        <w:t>C</w:t>
      </w:r>
      <w:r w:rsidRPr="0044331C">
        <w:rPr>
          <w:rFonts w:cs="Times New Roman"/>
          <w:iCs/>
          <w:sz w:val="24"/>
          <w:szCs w:val="24"/>
        </w:rPr>
        <w:t xml:space="preserve">ode crosses </w:t>
      </w:r>
      <w:r w:rsidR="00597DE3" w:rsidRPr="0044331C">
        <w:rPr>
          <w:rFonts w:cs="Times New Roman"/>
          <w:iCs/>
          <w:sz w:val="24"/>
          <w:szCs w:val="24"/>
        </w:rPr>
        <w:t>2</w:t>
      </w:r>
      <w:r w:rsidRPr="0044331C">
        <w:rPr>
          <w:rFonts w:cs="Times New Roman"/>
          <w:iCs/>
          <w:sz w:val="24"/>
          <w:szCs w:val="24"/>
        </w:rPr>
        <w:t xml:space="preserve"> </w:t>
      </w:r>
      <w:r w:rsidR="00597DE3" w:rsidRPr="0044331C">
        <w:rPr>
          <w:rFonts w:cs="Times New Roman"/>
          <w:iCs/>
          <w:sz w:val="24"/>
          <w:szCs w:val="24"/>
        </w:rPr>
        <w:t>CSD</w:t>
      </w:r>
      <w:r w:rsidR="00B42708" w:rsidRPr="0044331C">
        <w:rPr>
          <w:rFonts w:cs="Times New Roman"/>
          <w:iCs/>
          <w:sz w:val="24"/>
          <w:szCs w:val="24"/>
        </w:rPr>
        <w:t>s</w:t>
      </w:r>
      <w:r w:rsidRPr="0044331C">
        <w:rPr>
          <w:rFonts w:cs="Times New Roman"/>
          <w:iCs/>
          <w:sz w:val="24"/>
          <w:szCs w:val="24"/>
        </w:rPr>
        <w:t xml:space="preserve"> and 75% of the dwellings </w:t>
      </w:r>
      <w:r w:rsidR="00CC768B" w:rsidRPr="0044331C">
        <w:rPr>
          <w:rFonts w:cs="Times New Roman"/>
          <w:iCs/>
          <w:sz w:val="24"/>
          <w:szCs w:val="24"/>
        </w:rPr>
        <w:t>are in</w:t>
      </w:r>
      <w:r w:rsidRPr="0044331C">
        <w:rPr>
          <w:rFonts w:cs="Times New Roman"/>
          <w:iCs/>
          <w:sz w:val="24"/>
          <w:szCs w:val="24"/>
        </w:rPr>
        <w:t xml:space="preserve"> </w:t>
      </w:r>
      <w:r w:rsidR="00CC768B" w:rsidRPr="0044331C">
        <w:rPr>
          <w:rFonts w:cs="Times New Roman"/>
          <w:iCs/>
          <w:sz w:val="24"/>
          <w:szCs w:val="24"/>
        </w:rPr>
        <w:t xml:space="preserve">the </w:t>
      </w:r>
      <w:r w:rsidR="00597DE3" w:rsidRPr="0044331C">
        <w:rPr>
          <w:rFonts w:cs="Times New Roman"/>
          <w:iCs/>
          <w:sz w:val="24"/>
          <w:szCs w:val="24"/>
        </w:rPr>
        <w:t>CSD</w:t>
      </w:r>
      <w:r w:rsidRPr="0044331C">
        <w:rPr>
          <w:rFonts w:cs="Times New Roman"/>
          <w:iCs/>
          <w:sz w:val="24"/>
          <w:szCs w:val="24"/>
        </w:rPr>
        <w:t xml:space="preserve">#1, then it is very likely that the Postal Code / </w:t>
      </w:r>
      <w:r w:rsidR="00597DE3" w:rsidRPr="0044331C">
        <w:rPr>
          <w:rFonts w:cs="Times New Roman"/>
          <w:iCs/>
          <w:sz w:val="24"/>
          <w:szCs w:val="24"/>
        </w:rPr>
        <w:t>CSD</w:t>
      </w:r>
      <w:r w:rsidRPr="0044331C">
        <w:rPr>
          <w:rFonts w:cs="Times New Roman"/>
          <w:iCs/>
          <w:sz w:val="24"/>
          <w:szCs w:val="24"/>
        </w:rPr>
        <w:t>#</w:t>
      </w:r>
      <w:r w:rsidR="00CC768B" w:rsidRPr="0044331C">
        <w:rPr>
          <w:rFonts w:cs="Times New Roman"/>
          <w:iCs/>
          <w:sz w:val="24"/>
          <w:szCs w:val="24"/>
        </w:rPr>
        <w:t>1 combination</w:t>
      </w:r>
      <w:r w:rsidRPr="0044331C">
        <w:rPr>
          <w:rFonts w:cs="Times New Roman"/>
          <w:iCs/>
          <w:sz w:val="24"/>
          <w:szCs w:val="24"/>
        </w:rPr>
        <w:t xml:space="preserve"> will have an SLI of 1 while Postal Code / </w:t>
      </w:r>
      <w:r w:rsidR="00597DE3" w:rsidRPr="0044331C">
        <w:rPr>
          <w:rFonts w:cs="Times New Roman"/>
          <w:iCs/>
          <w:sz w:val="24"/>
          <w:szCs w:val="24"/>
        </w:rPr>
        <w:t>CSD</w:t>
      </w:r>
      <w:r w:rsidRPr="0044331C">
        <w:rPr>
          <w:rFonts w:cs="Times New Roman"/>
          <w:iCs/>
          <w:sz w:val="24"/>
          <w:szCs w:val="24"/>
        </w:rPr>
        <w:t>#</w:t>
      </w:r>
      <w:r w:rsidR="00CC768B" w:rsidRPr="0044331C">
        <w:rPr>
          <w:rFonts w:cs="Times New Roman"/>
          <w:iCs/>
          <w:sz w:val="24"/>
          <w:szCs w:val="24"/>
        </w:rPr>
        <w:t xml:space="preserve">2 </w:t>
      </w:r>
      <w:r w:rsidRPr="0044331C">
        <w:rPr>
          <w:rFonts w:cs="Times New Roman"/>
          <w:iCs/>
          <w:sz w:val="24"/>
          <w:szCs w:val="24"/>
        </w:rPr>
        <w:t>will have an SLI of 0. Other factors such as physical limits (creeks, train tracks, business parks) are also used in the SLI determination</w:t>
      </w:r>
      <w:r w:rsidR="00F21D90" w:rsidRPr="0044331C">
        <w:rPr>
          <w:rFonts w:cs="Times New Roman"/>
          <w:iCs/>
          <w:sz w:val="24"/>
          <w:szCs w:val="24"/>
        </w:rPr>
        <w:t>.</w:t>
      </w:r>
      <w:r w:rsidR="00541690" w:rsidRPr="0044331C">
        <w:rPr>
          <w:rFonts w:cs="Times New Roman"/>
          <w:iCs/>
          <w:sz w:val="24"/>
          <w:szCs w:val="24"/>
        </w:rPr>
        <w:t xml:space="preserve"> </w:t>
      </w:r>
      <w:r w:rsidR="00F21D90" w:rsidRPr="0044331C">
        <w:rPr>
          <w:rFonts w:cs="Times New Roman"/>
          <w:iCs/>
          <w:sz w:val="24"/>
          <w:szCs w:val="24"/>
        </w:rPr>
        <w:t xml:space="preserve">By assigning </w:t>
      </w:r>
      <w:r w:rsidR="00541690" w:rsidRPr="0044331C">
        <w:rPr>
          <w:rFonts w:cs="Times New Roman"/>
          <w:iCs/>
          <w:sz w:val="24"/>
          <w:szCs w:val="24"/>
        </w:rPr>
        <w:t xml:space="preserve">all T1FF records associated </w:t>
      </w:r>
      <w:r w:rsidR="00D05D7B" w:rsidRPr="0044331C">
        <w:rPr>
          <w:rFonts w:cs="Times New Roman"/>
          <w:iCs/>
          <w:sz w:val="24"/>
          <w:szCs w:val="24"/>
        </w:rPr>
        <w:t xml:space="preserve">with a specific </w:t>
      </w:r>
      <w:r w:rsidR="00DE2472" w:rsidRPr="0044331C">
        <w:rPr>
          <w:rFonts w:cs="Times New Roman"/>
          <w:iCs/>
          <w:sz w:val="24"/>
          <w:szCs w:val="24"/>
        </w:rPr>
        <w:t>P</w:t>
      </w:r>
      <w:r w:rsidR="00F21D90" w:rsidRPr="0044331C">
        <w:rPr>
          <w:rFonts w:cs="Times New Roman"/>
          <w:iCs/>
          <w:sz w:val="24"/>
          <w:szCs w:val="24"/>
        </w:rPr>
        <w:t xml:space="preserve">ostal </w:t>
      </w:r>
      <w:r w:rsidR="00DE2472" w:rsidRPr="0044331C">
        <w:rPr>
          <w:rFonts w:cs="Times New Roman"/>
          <w:iCs/>
          <w:sz w:val="24"/>
          <w:szCs w:val="24"/>
        </w:rPr>
        <w:t>C</w:t>
      </w:r>
      <w:r w:rsidR="00F21D90" w:rsidRPr="0044331C">
        <w:rPr>
          <w:rFonts w:cs="Times New Roman"/>
          <w:iCs/>
          <w:sz w:val="24"/>
          <w:szCs w:val="24"/>
        </w:rPr>
        <w:t xml:space="preserve">ode to </w:t>
      </w:r>
      <w:r w:rsidR="00D05D7B" w:rsidRPr="0044331C">
        <w:rPr>
          <w:rFonts w:cs="Times New Roman"/>
          <w:iCs/>
          <w:sz w:val="24"/>
          <w:szCs w:val="24"/>
        </w:rPr>
        <w:t xml:space="preserve">only the one </w:t>
      </w:r>
      <w:r w:rsidR="00597DE3" w:rsidRPr="0044331C">
        <w:rPr>
          <w:rFonts w:cs="Times New Roman"/>
          <w:iCs/>
          <w:sz w:val="24"/>
          <w:szCs w:val="24"/>
        </w:rPr>
        <w:t>CSD</w:t>
      </w:r>
      <w:r w:rsidR="00F21D90" w:rsidRPr="0044331C">
        <w:rPr>
          <w:rFonts w:cs="Times New Roman"/>
          <w:iCs/>
          <w:sz w:val="24"/>
          <w:szCs w:val="24"/>
        </w:rPr>
        <w:t xml:space="preserve">, </w:t>
      </w:r>
      <w:r w:rsidR="00541690" w:rsidRPr="0044331C">
        <w:rPr>
          <w:rFonts w:cs="Times New Roman"/>
          <w:iCs/>
          <w:sz w:val="24"/>
          <w:szCs w:val="24"/>
        </w:rPr>
        <w:t xml:space="preserve">a </w:t>
      </w:r>
      <w:r w:rsidR="00F21D90" w:rsidRPr="0044331C">
        <w:rPr>
          <w:rFonts w:cs="Times New Roman"/>
          <w:iCs/>
          <w:sz w:val="24"/>
          <w:szCs w:val="24"/>
        </w:rPr>
        <w:t xml:space="preserve">certain amount of under coverage or over coverage </w:t>
      </w:r>
      <w:r w:rsidR="00CC768B" w:rsidRPr="0044331C">
        <w:rPr>
          <w:rFonts w:cs="Times New Roman"/>
          <w:iCs/>
          <w:sz w:val="24"/>
          <w:szCs w:val="24"/>
        </w:rPr>
        <w:t xml:space="preserve">is created </w:t>
      </w:r>
      <w:r w:rsidR="00F21D90" w:rsidRPr="0044331C">
        <w:rPr>
          <w:rFonts w:cs="Times New Roman"/>
          <w:iCs/>
          <w:sz w:val="24"/>
          <w:szCs w:val="24"/>
        </w:rPr>
        <w:t xml:space="preserve">for almost all </w:t>
      </w:r>
      <w:r w:rsidR="007D1B0A" w:rsidRPr="0044331C">
        <w:rPr>
          <w:rFonts w:cs="Times New Roman"/>
          <w:iCs/>
          <w:sz w:val="24"/>
          <w:szCs w:val="24"/>
        </w:rPr>
        <w:t>CSD</w:t>
      </w:r>
      <w:r w:rsidR="00DE2472" w:rsidRPr="0044331C">
        <w:rPr>
          <w:rFonts w:cs="Times New Roman"/>
          <w:iCs/>
          <w:sz w:val="24"/>
          <w:szCs w:val="24"/>
        </w:rPr>
        <w:t>s</w:t>
      </w:r>
      <w:r w:rsidR="00CC768B" w:rsidRPr="0044331C">
        <w:rPr>
          <w:rFonts w:cs="Times New Roman"/>
          <w:iCs/>
          <w:sz w:val="24"/>
          <w:szCs w:val="24"/>
        </w:rPr>
        <w:t xml:space="preserve"> when looking at T1FF data</w:t>
      </w:r>
      <w:r w:rsidR="00F21D90" w:rsidRPr="0044331C">
        <w:rPr>
          <w:rFonts w:cs="Times New Roman"/>
          <w:iCs/>
          <w:sz w:val="24"/>
          <w:szCs w:val="24"/>
        </w:rPr>
        <w:t xml:space="preserve">. For the other census geographies, the issue of under or over coverage diminishes for higher levels of </w:t>
      </w:r>
      <w:r w:rsidR="006E253E" w:rsidRPr="0044331C">
        <w:rPr>
          <w:rFonts w:cs="Times New Roman"/>
          <w:iCs/>
          <w:sz w:val="24"/>
          <w:szCs w:val="24"/>
        </w:rPr>
        <w:t>the geography</w:t>
      </w:r>
      <w:r w:rsidR="00F21D90" w:rsidRPr="0044331C">
        <w:rPr>
          <w:rFonts w:cs="Times New Roman"/>
          <w:iCs/>
          <w:sz w:val="24"/>
          <w:szCs w:val="24"/>
        </w:rPr>
        <w:t xml:space="preserve"> hierarchy. For example, the coverage issues is more </w:t>
      </w:r>
      <w:r w:rsidR="003C35C0" w:rsidRPr="0044331C">
        <w:rPr>
          <w:rFonts w:cs="Times New Roman"/>
          <w:iCs/>
          <w:sz w:val="24"/>
          <w:szCs w:val="24"/>
        </w:rPr>
        <w:t>prevalent</w:t>
      </w:r>
      <w:r w:rsidR="00F21D90" w:rsidRPr="0044331C">
        <w:rPr>
          <w:rFonts w:cs="Times New Roman"/>
          <w:iCs/>
          <w:sz w:val="24"/>
          <w:szCs w:val="24"/>
        </w:rPr>
        <w:t xml:space="preserve"> </w:t>
      </w:r>
      <w:r w:rsidR="00541690" w:rsidRPr="0044331C">
        <w:rPr>
          <w:rFonts w:cs="Times New Roman"/>
          <w:iCs/>
          <w:sz w:val="24"/>
          <w:szCs w:val="24"/>
        </w:rPr>
        <w:t>for</w:t>
      </w:r>
      <w:r w:rsidR="00F21D90" w:rsidRPr="0044331C">
        <w:rPr>
          <w:rFonts w:cs="Times New Roman"/>
          <w:iCs/>
          <w:sz w:val="24"/>
          <w:szCs w:val="24"/>
        </w:rPr>
        <w:t xml:space="preserve"> </w:t>
      </w:r>
      <w:r w:rsidR="003C35C0" w:rsidRPr="0044331C">
        <w:rPr>
          <w:rFonts w:cs="Times New Roman"/>
          <w:iCs/>
          <w:sz w:val="24"/>
          <w:szCs w:val="24"/>
        </w:rPr>
        <w:t>c</w:t>
      </w:r>
      <w:r w:rsidR="00F21D90" w:rsidRPr="0044331C">
        <w:rPr>
          <w:rFonts w:cs="Times New Roman"/>
          <w:iCs/>
          <w:sz w:val="24"/>
          <w:szCs w:val="24"/>
        </w:rPr>
        <w:t xml:space="preserve">ensus subdivisions than </w:t>
      </w:r>
      <w:r w:rsidR="00541690" w:rsidRPr="0044331C">
        <w:rPr>
          <w:rFonts w:cs="Times New Roman"/>
          <w:iCs/>
          <w:sz w:val="24"/>
          <w:szCs w:val="24"/>
        </w:rPr>
        <w:t xml:space="preserve">for </w:t>
      </w:r>
      <w:r w:rsidR="003C35C0" w:rsidRPr="0044331C">
        <w:rPr>
          <w:rFonts w:cs="Times New Roman"/>
          <w:iCs/>
          <w:sz w:val="24"/>
          <w:szCs w:val="24"/>
        </w:rPr>
        <w:t>c</w:t>
      </w:r>
      <w:r w:rsidR="00F21D90" w:rsidRPr="0044331C">
        <w:rPr>
          <w:rFonts w:cs="Times New Roman"/>
          <w:iCs/>
          <w:sz w:val="24"/>
          <w:szCs w:val="24"/>
        </w:rPr>
        <w:t>ensus divisions</w:t>
      </w:r>
      <w:r w:rsidR="003C35C0" w:rsidRPr="0044331C">
        <w:rPr>
          <w:rFonts w:cs="Times New Roman"/>
          <w:iCs/>
          <w:sz w:val="24"/>
          <w:szCs w:val="24"/>
        </w:rPr>
        <w:t xml:space="preserve">, and the coverage issues is </w:t>
      </w:r>
      <w:r w:rsidR="00541690" w:rsidRPr="0044331C">
        <w:rPr>
          <w:rFonts w:cs="Times New Roman"/>
          <w:iCs/>
          <w:sz w:val="24"/>
          <w:szCs w:val="24"/>
        </w:rPr>
        <w:t xml:space="preserve">also </w:t>
      </w:r>
      <w:r w:rsidR="003C35C0" w:rsidRPr="0044331C">
        <w:rPr>
          <w:rFonts w:cs="Times New Roman"/>
          <w:iCs/>
          <w:sz w:val="24"/>
          <w:szCs w:val="24"/>
        </w:rPr>
        <w:t xml:space="preserve">more </w:t>
      </w:r>
      <w:r w:rsidR="00541690" w:rsidRPr="0044331C">
        <w:rPr>
          <w:rFonts w:cs="Times New Roman"/>
          <w:iCs/>
          <w:sz w:val="24"/>
          <w:szCs w:val="24"/>
        </w:rPr>
        <w:t xml:space="preserve">prevalent for </w:t>
      </w:r>
      <w:r w:rsidR="003C35C0" w:rsidRPr="0044331C">
        <w:rPr>
          <w:rFonts w:cs="Times New Roman"/>
          <w:iCs/>
          <w:sz w:val="24"/>
          <w:szCs w:val="24"/>
        </w:rPr>
        <w:t xml:space="preserve">census tracts than </w:t>
      </w:r>
      <w:r w:rsidR="006E253E" w:rsidRPr="0044331C">
        <w:rPr>
          <w:rFonts w:cs="Times New Roman"/>
          <w:iCs/>
          <w:sz w:val="24"/>
          <w:szCs w:val="24"/>
        </w:rPr>
        <w:t>for</w:t>
      </w:r>
      <w:r w:rsidR="003C35C0" w:rsidRPr="0044331C">
        <w:rPr>
          <w:rFonts w:cs="Times New Roman"/>
          <w:iCs/>
          <w:sz w:val="24"/>
          <w:szCs w:val="24"/>
        </w:rPr>
        <w:t xml:space="preserve"> census metropolitan areas. By agreeing to buy T1FF</w:t>
      </w:r>
      <w:r w:rsidR="006E253E" w:rsidRPr="0044331C">
        <w:rPr>
          <w:rFonts w:cs="Times New Roman"/>
          <w:iCs/>
          <w:sz w:val="24"/>
          <w:szCs w:val="24"/>
        </w:rPr>
        <w:t xml:space="preserve"> data</w:t>
      </w:r>
      <w:r w:rsidR="003C35C0" w:rsidRPr="0044331C">
        <w:rPr>
          <w:rFonts w:cs="Times New Roman"/>
          <w:iCs/>
          <w:sz w:val="24"/>
          <w:szCs w:val="24"/>
        </w:rPr>
        <w:t xml:space="preserve"> grouped by census geography,</w:t>
      </w:r>
      <w:r w:rsidR="00F21D90" w:rsidRPr="0044331C">
        <w:rPr>
          <w:rFonts w:cs="Times New Roman"/>
          <w:iCs/>
          <w:sz w:val="24"/>
          <w:szCs w:val="24"/>
        </w:rPr>
        <w:t xml:space="preserve"> you </w:t>
      </w:r>
      <w:r w:rsidR="003C35C0" w:rsidRPr="0044331C">
        <w:rPr>
          <w:rFonts w:cs="Times New Roman"/>
          <w:iCs/>
          <w:sz w:val="24"/>
          <w:szCs w:val="24"/>
        </w:rPr>
        <w:t>accept the</w:t>
      </w:r>
      <w:r w:rsidR="006E253E" w:rsidRPr="0044331C">
        <w:rPr>
          <w:rFonts w:cs="Times New Roman"/>
          <w:iCs/>
          <w:sz w:val="24"/>
          <w:szCs w:val="24"/>
        </w:rPr>
        <w:t xml:space="preserve"> data quality issues associated with any</w:t>
      </w:r>
      <w:r w:rsidR="00F21D90" w:rsidRPr="0044331C">
        <w:rPr>
          <w:rFonts w:cs="Times New Roman"/>
          <w:iCs/>
          <w:sz w:val="24"/>
          <w:szCs w:val="24"/>
        </w:rPr>
        <w:t xml:space="preserve"> under coverage or over coverage in the data. In no event will Statistics Canada be liable or accept responsibility for any direct, special, indirect, consequential or other damages, however caused.</w:t>
      </w:r>
    </w:p>
    <w:p w:rsidR="003C35C0" w:rsidRPr="00CC768B" w:rsidRDefault="003C35C0">
      <w:pPr>
        <w:rPr>
          <w:rFonts w:cs="Times New Roman"/>
          <w:i/>
          <w:iCs/>
          <w:sz w:val="24"/>
          <w:szCs w:val="24"/>
        </w:rPr>
      </w:pPr>
    </w:p>
    <w:p w:rsidR="00693FEC" w:rsidRPr="00CC768B" w:rsidRDefault="00693FEC" w:rsidP="00D05D7B">
      <w:pPr>
        <w:ind w:left="720"/>
        <w:rPr>
          <w:rFonts w:cs="Times New Roman"/>
          <w:iCs/>
          <w:sz w:val="24"/>
          <w:szCs w:val="24"/>
        </w:rPr>
      </w:pPr>
      <w:r w:rsidRPr="00CC768B">
        <w:rPr>
          <w:rFonts w:cs="Times New Roman"/>
          <w:iCs/>
          <w:sz w:val="24"/>
          <w:szCs w:val="24"/>
        </w:rPr>
        <w:t>Federal Electoral Districts</w:t>
      </w:r>
    </w:p>
    <w:p w:rsidR="00693FEC" w:rsidRPr="00CC768B" w:rsidRDefault="00693FEC" w:rsidP="00D05D7B">
      <w:pPr>
        <w:ind w:left="720"/>
        <w:rPr>
          <w:rFonts w:cs="Times New Roman"/>
          <w:iCs/>
          <w:sz w:val="24"/>
          <w:szCs w:val="24"/>
        </w:rPr>
      </w:pPr>
      <w:r w:rsidRPr="00CC768B">
        <w:rPr>
          <w:rFonts w:cs="Times New Roman"/>
          <w:iCs/>
          <w:sz w:val="24"/>
          <w:szCs w:val="24"/>
        </w:rPr>
        <w:t>Economic Regions (ER)</w:t>
      </w:r>
    </w:p>
    <w:p w:rsidR="00693FEC" w:rsidRPr="00CC768B" w:rsidRDefault="00693FEC" w:rsidP="00D05D7B">
      <w:pPr>
        <w:ind w:left="720"/>
        <w:rPr>
          <w:rFonts w:cs="Times New Roman"/>
          <w:iCs/>
          <w:sz w:val="24"/>
          <w:szCs w:val="24"/>
        </w:rPr>
      </w:pPr>
      <w:r w:rsidRPr="00CC768B">
        <w:rPr>
          <w:rFonts w:cs="Times New Roman"/>
          <w:iCs/>
          <w:sz w:val="24"/>
          <w:szCs w:val="24"/>
        </w:rPr>
        <w:t>Census Divisions (CD can be rolled-up to ER)</w:t>
      </w:r>
    </w:p>
    <w:p w:rsidR="00693FEC" w:rsidRPr="00CC768B" w:rsidRDefault="00693FEC" w:rsidP="00D05D7B">
      <w:pPr>
        <w:ind w:left="720"/>
        <w:rPr>
          <w:rFonts w:cs="Times New Roman"/>
          <w:iCs/>
          <w:sz w:val="24"/>
          <w:szCs w:val="24"/>
        </w:rPr>
      </w:pPr>
      <w:r w:rsidRPr="00CC768B">
        <w:rPr>
          <w:rFonts w:cs="Times New Roman"/>
          <w:iCs/>
          <w:sz w:val="24"/>
          <w:szCs w:val="24"/>
        </w:rPr>
        <w:t xml:space="preserve">Census </w:t>
      </w:r>
      <w:r w:rsidRPr="00CC768B">
        <w:rPr>
          <w:rFonts w:cs="Times New Roman"/>
          <w:sz w:val="24"/>
          <w:szCs w:val="24"/>
        </w:rPr>
        <w:t>Metropolitan</w:t>
      </w:r>
      <w:r w:rsidRPr="00CC768B">
        <w:rPr>
          <w:rFonts w:cs="Times New Roman"/>
          <w:iCs/>
          <w:sz w:val="24"/>
          <w:szCs w:val="24"/>
        </w:rPr>
        <w:t xml:space="preserve"> Areas (CMA)</w:t>
      </w:r>
    </w:p>
    <w:p w:rsidR="00693FEC" w:rsidRPr="00CC768B" w:rsidRDefault="00693FEC" w:rsidP="00D05D7B">
      <w:pPr>
        <w:ind w:left="720"/>
        <w:rPr>
          <w:rFonts w:cs="Times New Roman"/>
          <w:iCs/>
          <w:sz w:val="24"/>
          <w:szCs w:val="24"/>
        </w:rPr>
      </w:pPr>
      <w:r w:rsidRPr="00CC768B">
        <w:rPr>
          <w:rFonts w:cs="Times New Roman"/>
          <w:iCs/>
          <w:sz w:val="24"/>
          <w:szCs w:val="24"/>
        </w:rPr>
        <w:t>Census Agglomerations (CA)</w:t>
      </w:r>
    </w:p>
    <w:p w:rsidR="00D05D7B" w:rsidRPr="00CC768B" w:rsidRDefault="00693FEC" w:rsidP="00D05D7B">
      <w:pPr>
        <w:ind w:left="720"/>
        <w:rPr>
          <w:rFonts w:cs="Times New Roman"/>
          <w:bCs/>
          <w:sz w:val="24"/>
          <w:szCs w:val="24"/>
        </w:rPr>
      </w:pPr>
      <w:r w:rsidRPr="00CC768B">
        <w:rPr>
          <w:rFonts w:cs="Times New Roman"/>
          <w:iCs/>
          <w:sz w:val="24"/>
          <w:szCs w:val="24"/>
        </w:rPr>
        <w:t xml:space="preserve">Census Subdivisions </w:t>
      </w:r>
      <w:r w:rsidRPr="00CC768B">
        <w:rPr>
          <w:rFonts w:cs="Times New Roman"/>
          <w:bCs/>
          <w:sz w:val="24"/>
          <w:szCs w:val="24"/>
        </w:rPr>
        <w:t>(CSD can be rolled-up to CD</w:t>
      </w:r>
      <w:r w:rsidR="00D05D7B" w:rsidRPr="00CC768B">
        <w:rPr>
          <w:rFonts w:cs="Times New Roman"/>
          <w:bCs/>
          <w:sz w:val="24"/>
          <w:szCs w:val="24"/>
        </w:rPr>
        <w:t>; available only for T1FF custom tabulations)</w:t>
      </w:r>
    </w:p>
    <w:p w:rsidR="00693FEC" w:rsidRPr="00CC768B" w:rsidRDefault="00693FEC" w:rsidP="00D05D7B">
      <w:pPr>
        <w:ind w:left="720"/>
        <w:rPr>
          <w:rFonts w:cs="Times New Roman"/>
          <w:iCs/>
          <w:sz w:val="24"/>
          <w:szCs w:val="24"/>
        </w:rPr>
      </w:pPr>
      <w:r w:rsidRPr="00CC768B">
        <w:rPr>
          <w:rFonts w:cs="Times New Roman"/>
          <w:iCs/>
          <w:sz w:val="24"/>
          <w:szCs w:val="24"/>
        </w:rPr>
        <w:t xml:space="preserve">Census Tracts </w:t>
      </w:r>
      <w:r w:rsidRPr="00CC768B">
        <w:rPr>
          <w:rFonts w:cs="Times New Roman"/>
          <w:bCs/>
          <w:sz w:val="24"/>
          <w:szCs w:val="24"/>
        </w:rPr>
        <w:t>(CT can be rolled-up to CMA and in some cases to CA)</w:t>
      </w:r>
    </w:p>
    <w:p w:rsidR="00693FEC" w:rsidRPr="00CC768B" w:rsidRDefault="00693FEC" w:rsidP="00D05D7B">
      <w:pPr>
        <w:ind w:left="720"/>
        <w:rPr>
          <w:rFonts w:cs="Times New Roman"/>
          <w:bCs/>
          <w:sz w:val="24"/>
          <w:szCs w:val="24"/>
        </w:rPr>
      </w:pPr>
      <w:r w:rsidRPr="00CC768B">
        <w:rPr>
          <w:rFonts w:cs="Times New Roman"/>
          <w:bCs/>
          <w:sz w:val="24"/>
          <w:szCs w:val="24"/>
        </w:rPr>
        <w:t>Dissemination Areas (DA can be rolled-up to CT or CSD</w:t>
      </w:r>
      <w:r w:rsidR="00D05D7B" w:rsidRPr="00CC768B">
        <w:rPr>
          <w:rFonts w:cs="Times New Roman"/>
          <w:bCs/>
          <w:sz w:val="24"/>
          <w:szCs w:val="24"/>
        </w:rPr>
        <w:t>; available only for T1FF custom tabulations</w:t>
      </w:r>
      <w:r w:rsidRPr="00CC768B">
        <w:rPr>
          <w:rFonts w:cs="Times New Roman"/>
          <w:bCs/>
          <w:sz w:val="24"/>
          <w:szCs w:val="24"/>
        </w:rPr>
        <w:t>)</w:t>
      </w:r>
    </w:p>
    <w:p w:rsidR="0045710D" w:rsidRDefault="0045710D">
      <w:pPr>
        <w:rPr>
          <w:iCs/>
          <w:sz w:val="24"/>
          <w:szCs w:val="24"/>
        </w:rPr>
      </w:pPr>
    </w:p>
    <w:p w:rsidR="003C35C0" w:rsidRDefault="0045710D" w:rsidP="0045710D">
      <w:pPr>
        <w:ind w:left="-284" w:right="-421"/>
        <w:rPr>
          <w:b/>
          <w:iCs/>
          <w:sz w:val="24"/>
          <w:szCs w:val="24"/>
        </w:rPr>
      </w:pPr>
      <w:r w:rsidRPr="00471BA8">
        <w:rPr>
          <w:b/>
          <w:iCs/>
          <w:sz w:val="24"/>
          <w:szCs w:val="24"/>
        </w:rPr>
        <w:t>The Excel document “</w:t>
      </w:r>
      <w:r w:rsidR="00597DE3" w:rsidRPr="00471BA8">
        <w:rPr>
          <w:b/>
          <w:iCs/>
          <w:color w:val="0070C0"/>
          <w:sz w:val="24"/>
          <w:szCs w:val="24"/>
        </w:rPr>
        <w:t>CSD</w:t>
      </w:r>
      <w:r w:rsidRPr="00471BA8">
        <w:rPr>
          <w:b/>
          <w:iCs/>
          <w:color w:val="0070C0"/>
          <w:sz w:val="24"/>
          <w:szCs w:val="24"/>
        </w:rPr>
        <w:t>_Coverage_CensusVsT1FF_2011.xlsx</w:t>
      </w:r>
      <w:r w:rsidRPr="00471BA8">
        <w:rPr>
          <w:b/>
          <w:iCs/>
          <w:sz w:val="24"/>
          <w:szCs w:val="24"/>
        </w:rPr>
        <w:t xml:space="preserve">” can be consulted for more detailed coverage information on specific </w:t>
      </w:r>
      <w:r w:rsidR="00597DE3" w:rsidRPr="00471BA8">
        <w:rPr>
          <w:b/>
          <w:iCs/>
          <w:sz w:val="24"/>
          <w:szCs w:val="24"/>
        </w:rPr>
        <w:t>CSD</w:t>
      </w:r>
      <w:r w:rsidRPr="00471BA8">
        <w:rPr>
          <w:b/>
          <w:iCs/>
          <w:sz w:val="24"/>
          <w:szCs w:val="24"/>
        </w:rPr>
        <w:t>s.</w:t>
      </w:r>
      <w:r w:rsidR="00471BA8" w:rsidRPr="00471BA8">
        <w:rPr>
          <w:b/>
          <w:iCs/>
          <w:sz w:val="24"/>
          <w:szCs w:val="24"/>
        </w:rPr>
        <w:t xml:space="preserve"> See the “</w:t>
      </w:r>
      <w:r w:rsidR="00471BA8" w:rsidRPr="00471BA8">
        <w:rPr>
          <w:b/>
          <w:iCs/>
          <w:color w:val="0070C0"/>
          <w:sz w:val="24"/>
          <w:szCs w:val="24"/>
        </w:rPr>
        <w:t>CSD Detailed Coverage Table</w:t>
      </w:r>
      <w:r w:rsidR="00471BA8" w:rsidRPr="00471BA8">
        <w:rPr>
          <w:b/>
          <w:iCs/>
          <w:sz w:val="24"/>
          <w:szCs w:val="24"/>
        </w:rPr>
        <w:t xml:space="preserve">” in the Excel file to check the quality of the data for the CSD of interest. </w:t>
      </w:r>
    </w:p>
    <w:p w:rsidR="00471BA8" w:rsidRPr="00471BA8" w:rsidRDefault="00471BA8" w:rsidP="0045710D">
      <w:pPr>
        <w:ind w:left="-284" w:right="-421"/>
        <w:rPr>
          <w:b/>
          <w:iCs/>
          <w:sz w:val="24"/>
          <w:szCs w:val="24"/>
        </w:rPr>
      </w:pPr>
      <w:r w:rsidRPr="00471BA8">
        <w:rPr>
          <w:b/>
          <w:iCs/>
          <w:sz w:val="24"/>
          <w:szCs w:val="24"/>
        </w:rPr>
        <w:lastRenderedPageBreak/>
        <w:t>Due to the relatively poor quality of the coverage for some CSDs (mostly in rural areas and low population areas), T1FF data at the CSD level should be used with caution. Statistics Canada does not accept responsibility for any direct or indirect consequences associated with under coverage or over coverage in T1FF data at the CSD level.</w:t>
      </w:r>
    </w:p>
    <w:p w:rsidR="00471BA8" w:rsidRDefault="00471BA8" w:rsidP="0045710D">
      <w:pPr>
        <w:ind w:left="-284" w:right="-421"/>
        <w:rPr>
          <w:iCs/>
          <w:sz w:val="24"/>
          <w:szCs w:val="24"/>
        </w:rPr>
      </w:pPr>
    </w:p>
    <w:p w:rsidR="005E1B09" w:rsidRDefault="005E1B09" w:rsidP="0045710D">
      <w:pPr>
        <w:ind w:left="-284" w:right="-421"/>
        <w:rPr>
          <w:iCs/>
          <w:sz w:val="24"/>
          <w:szCs w:val="24"/>
        </w:rPr>
      </w:pPr>
      <w:r>
        <w:rPr>
          <w:iCs/>
          <w:sz w:val="24"/>
          <w:szCs w:val="24"/>
        </w:rPr>
        <w:t xml:space="preserve">Example: </w:t>
      </w:r>
    </w:p>
    <w:p w:rsidR="005E1B09" w:rsidRPr="005E1B09" w:rsidRDefault="005E1B09" w:rsidP="005E1B09">
      <w:pPr>
        <w:spacing w:before="100" w:beforeAutospacing="1" w:after="100" w:afterAutospacing="1"/>
        <w:rPr>
          <w:rFonts w:eastAsia="Times New Roman" w:cstheme="minorHAnsi"/>
          <w:sz w:val="24"/>
          <w:szCs w:val="24"/>
          <w:lang w:eastAsia="en-CA"/>
        </w:rPr>
      </w:pPr>
      <w:r w:rsidRPr="005E1B09">
        <w:rPr>
          <w:rFonts w:eastAsia="Times New Roman" w:cstheme="minorHAnsi"/>
          <w:sz w:val="24"/>
          <w:szCs w:val="24"/>
          <w:lang w:eastAsia="en-CA"/>
        </w:rPr>
        <w:t>The table below demonstrates the difference in population as estimated by taxfiler data (T1FF) using Postal Geography and Census Data using Census Geography for some communities in the County of Simcoe, Ontario.</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1"/>
        <w:gridCol w:w="1076"/>
        <w:gridCol w:w="1319"/>
      </w:tblGrid>
      <w:tr w:rsidR="005E1B09" w:rsidRPr="005E1B09" w:rsidTr="00420D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sz w:val="24"/>
                <w:szCs w:val="24"/>
                <w:lang w:eastAsia="en-CA"/>
              </w:rPr>
            </w:pPr>
            <w:r w:rsidRPr="005E1B09">
              <w:rPr>
                <w:rFonts w:eastAsia="Times New Roman" w:cstheme="minorHAnsi"/>
                <w:b/>
                <w:bCs/>
                <w:sz w:val="24"/>
                <w:szCs w:val="24"/>
                <w:lang w:eastAsia="en-CA"/>
              </w:rPr>
              <w:t>Community</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sz w:val="24"/>
                <w:szCs w:val="24"/>
                <w:lang w:eastAsia="en-CA"/>
              </w:rPr>
            </w:pPr>
            <w:r w:rsidRPr="005E1B09">
              <w:rPr>
                <w:rFonts w:eastAsia="Times New Roman" w:cstheme="minorHAnsi"/>
                <w:b/>
                <w:bCs/>
                <w:sz w:val="24"/>
                <w:szCs w:val="24"/>
                <w:lang w:eastAsia="en-CA"/>
              </w:rPr>
              <w:t>T1FF 2013</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sz w:val="24"/>
                <w:szCs w:val="24"/>
                <w:lang w:eastAsia="en-CA"/>
              </w:rPr>
            </w:pPr>
            <w:r w:rsidRPr="005E1B09">
              <w:rPr>
                <w:rFonts w:eastAsia="Times New Roman" w:cstheme="minorHAnsi"/>
                <w:b/>
                <w:bCs/>
                <w:sz w:val="24"/>
                <w:szCs w:val="24"/>
                <w:lang w:eastAsia="en-CA"/>
              </w:rPr>
              <w:t>Census 2011</w:t>
            </w:r>
          </w:p>
        </w:tc>
      </w:tr>
      <w:tr w:rsidR="005E1B09" w:rsidRPr="005E1B09" w:rsidTr="00420D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sz w:val="24"/>
                <w:szCs w:val="24"/>
                <w:lang w:eastAsia="en-CA"/>
              </w:rPr>
            </w:pPr>
            <w:r w:rsidRPr="005E1B09">
              <w:rPr>
                <w:rFonts w:eastAsia="Times New Roman" w:cstheme="minorHAnsi"/>
                <w:sz w:val="24"/>
                <w:szCs w:val="24"/>
                <w:lang w:eastAsia="en-CA"/>
              </w:rPr>
              <w:t>Simcoe County</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sz w:val="24"/>
                <w:szCs w:val="24"/>
                <w:lang w:eastAsia="en-CA"/>
              </w:rPr>
            </w:pPr>
            <w:r w:rsidRPr="005E1B09">
              <w:rPr>
                <w:rFonts w:eastAsia="Times New Roman" w:cstheme="minorHAnsi"/>
                <w:sz w:val="24"/>
                <w:szCs w:val="24"/>
                <w:lang w:eastAsia="en-CA"/>
              </w:rPr>
              <w:t>447,830</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sz w:val="24"/>
                <w:szCs w:val="24"/>
                <w:lang w:eastAsia="en-CA"/>
              </w:rPr>
            </w:pPr>
            <w:r w:rsidRPr="005E1B09">
              <w:rPr>
                <w:rFonts w:eastAsia="Times New Roman" w:cstheme="minorHAnsi"/>
                <w:sz w:val="24"/>
                <w:szCs w:val="24"/>
                <w:lang w:eastAsia="en-CA"/>
              </w:rPr>
              <w:t>446,065</w:t>
            </w:r>
          </w:p>
        </w:tc>
      </w:tr>
      <w:tr w:rsidR="005E1B09" w:rsidRPr="005E1B09" w:rsidTr="00420D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color w:val="FF0000"/>
                <w:sz w:val="24"/>
                <w:szCs w:val="24"/>
                <w:lang w:eastAsia="en-CA"/>
              </w:rPr>
            </w:pPr>
            <w:r w:rsidRPr="005E1B09">
              <w:rPr>
                <w:rFonts w:eastAsia="Times New Roman" w:cstheme="minorHAnsi"/>
                <w:i/>
                <w:iCs/>
                <w:color w:val="FF0000"/>
                <w:sz w:val="24"/>
                <w:szCs w:val="24"/>
                <w:lang w:eastAsia="en-CA"/>
              </w:rPr>
              <w:t>Adjala-Tosorontio</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color w:val="FF0000"/>
                <w:sz w:val="24"/>
                <w:szCs w:val="24"/>
                <w:lang w:eastAsia="en-CA"/>
              </w:rPr>
            </w:pPr>
            <w:r w:rsidRPr="005E1B09">
              <w:rPr>
                <w:rFonts w:eastAsia="Times New Roman" w:cstheme="minorHAnsi"/>
                <w:i/>
                <w:iCs/>
                <w:color w:val="FF0000"/>
                <w:sz w:val="24"/>
                <w:szCs w:val="24"/>
                <w:lang w:eastAsia="en-CA"/>
              </w:rPr>
              <w:t>6,960</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color w:val="FF0000"/>
                <w:sz w:val="24"/>
                <w:szCs w:val="24"/>
                <w:lang w:eastAsia="en-CA"/>
              </w:rPr>
            </w:pPr>
            <w:r w:rsidRPr="005E1B09">
              <w:rPr>
                <w:rFonts w:eastAsia="Times New Roman" w:cstheme="minorHAnsi"/>
                <w:i/>
                <w:iCs/>
                <w:color w:val="FF0000"/>
                <w:sz w:val="24"/>
                <w:szCs w:val="24"/>
                <w:lang w:eastAsia="en-CA"/>
              </w:rPr>
              <w:t>10,600</w:t>
            </w:r>
          </w:p>
        </w:tc>
      </w:tr>
      <w:tr w:rsidR="005E1B09" w:rsidRPr="005E1B09" w:rsidTr="00420D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spacing w:before="100" w:beforeAutospacing="1" w:after="100" w:afterAutospacing="1"/>
              <w:rPr>
                <w:rFonts w:eastAsia="Times New Roman" w:cstheme="minorHAnsi"/>
                <w:sz w:val="24"/>
                <w:szCs w:val="24"/>
                <w:lang w:eastAsia="en-CA"/>
              </w:rPr>
            </w:pPr>
            <w:r w:rsidRPr="005E1B09">
              <w:rPr>
                <w:rFonts w:eastAsia="Times New Roman" w:cstheme="minorHAnsi"/>
                <w:sz w:val="24"/>
                <w:szCs w:val="24"/>
                <w:lang w:eastAsia="en-CA"/>
              </w:rPr>
              <w:t>Clearview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sz w:val="24"/>
                <w:szCs w:val="24"/>
                <w:lang w:eastAsia="en-CA"/>
              </w:rPr>
            </w:pPr>
            <w:r w:rsidRPr="005E1B09">
              <w:rPr>
                <w:rFonts w:eastAsia="Times New Roman" w:cstheme="minorHAnsi"/>
                <w:sz w:val="24"/>
                <w:szCs w:val="24"/>
                <w:lang w:eastAsia="en-CA"/>
              </w:rPr>
              <w:t>13,870</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spacing w:before="100" w:beforeAutospacing="1" w:after="100" w:afterAutospacing="1"/>
              <w:rPr>
                <w:rFonts w:eastAsia="Times New Roman" w:cstheme="minorHAnsi"/>
                <w:sz w:val="24"/>
                <w:szCs w:val="24"/>
                <w:lang w:eastAsia="en-CA"/>
              </w:rPr>
            </w:pPr>
            <w:r w:rsidRPr="005E1B09">
              <w:rPr>
                <w:rFonts w:eastAsia="Times New Roman" w:cstheme="minorHAnsi"/>
                <w:sz w:val="24"/>
                <w:szCs w:val="24"/>
                <w:lang w:eastAsia="en-CA"/>
              </w:rPr>
              <w:t>13,735</w:t>
            </w:r>
          </w:p>
        </w:tc>
      </w:tr>
      <w:tr w:rsidR="005E1B09" w:rsidRPr="005E1B09" w:rsidTr="00420D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spacing w:before="100" w:beforeAutospacing="1" w:after="100" w:afterAutospacing="1"/>
              <w:rPr>
                <w:rFonts w:eastAsia="Times New Roman" w:cstheme="minorHAnsi"/>
                <w:sz w:val="24"/>
                <w:szCs w:val="24"/>
                <w:lang w:eastAsia="en-CA"/>
              </w:rPr>
            </w:pPr>
            <w:r w:rsidRPr="005E1B09">
              <w:rPr>
                <w:rFonts w:eastAsia="Times New Roman" w:cstheme="minorHAnsi"/>
                <w:sz w:val="24"/>
                <w:szCs w:val="24"/>
                <w:lang w:eastAsia="en-CA"/>
              </w:rPr>
              <w:t>Springwater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sz w:val="24"/>
                <w:szCs w:val="24"/>
                <w:lang w:eastAsia="en-CA"/>
              </w:rPr>
            </w:pPr>
            <w:r w:rsidRPr="005E1B09">
              <w:rPr>
                <w:rFonts w:eastAsia="Times New Roman" w:cstheme="minorHAnsi"/>
                <w:sz w:val="24"/>
                <w:szCs w:val="24"/>
                <w:lang w:eastAsia="en-CA"/>
              </w:rPr>
              <w:t>18,930</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spacing w:before="100" w:beforeAutospacing="1" w:after="100" w:afterAutospacing="1"/>
              <w:rPr>
                <w:rFonts w:eastAsia="Times New Roman" w:cstheme="minorHAnsi"/>
                <w:sz w:val="24"/>
                <w:szCs w:val="24"/>
                <w:lang w:eastAsia="en-CA"/>
              </w:rPr>
            </w:pPr>
            <w:r w:rsidRPr="005E1B09">
              <w:rPr>
                <w:rFonts w:eastAsia="Times New Roman" w:cstheme="minorHAnsi"/>
                <w:sz w:val="24"/>
                <w:szCs w:val="24"/>
                <w:lang w:eastAsia="en-CA"/>
              </w:rPr>
              <w:t>18,225</w:t>
            </w:r>
          </w:p>
        </w:tc>
      </w:tr>
      <w:tr w:rsidR="005E1B09" w:rsidRPr="005E1B09" w:rsidTr="00420D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spacing w:before="100" w:beforeAutospacing="1" w:after="100" w:afterAutospacing="1"/>
              <w:rPr>
                <w:rFonts w:eastAsia="Times New Roman" w:cstheme="minorHAnsi"/>
                <w:sz w:val="24"/>
                <w:szCs w:val="24"/>
                <w:lang w:eastAsia="en-CA"/>
              </w:rPr>
            </w:pPr>
            <w:r w:rsidRPr="005E1B09">
              <w:rPr>
                <w:rFonts w:eastAsia="Times New Roman" w:cstheme="minorHAnsi"/>
                <w:sz w:val="24"/>
                <w:szCs w:val="24"/>
                <w:lang w:eastAsia="en-CA"/>
              </w:rPr>
              <w:t>Severn</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sz w:val="24"/>
                <w:szCs w:val="24"/>
                <w:lang w:eastAsia="en-CA"/>
              </w:rPr>
            </w:pPr>
            <w:r w:rsidRPr="005E1B09">
              <w:rPr>
                <w:rFonts w:eastAsia="Times New Roman" w:cstheme="minorHAnsi"/>
                <w:sz w:val="24"/>
                <w:szCs w:val="24"/>
                <w:lang w:eastAsia="en-CA"/>
              </w:rPr>
              <w:t>13,850</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spacing w:before="100" w:beforeAutospacing="1" w:after="100" w:afterAutospacing="1"/>
              <w:rPr>
                <w:rFonts w:eastAsia="Times New Roman" w:cstheme="minorHAnsi"/>
                <w:sz w:val="24"/>
                <w:szCs w:val="24"/>
                <w:lang w:eastAsia="en-CA"/>
              </w:rPr>
            </w:pPr>
            <w:r w:rsidRPr="005E1B09">
              <w:rPr>
                <w:rFonts w:eastAsia="Times New Roman" w:cstheme="minorHAnsi"/>
                <w:sz w:val="24"/>
                <w:szCs w:val="24"/>
                <w:lang w:eastAsia="en-CA"/>
              </w:rPr>
              <w:t> 12,375</w:t>
            </w:r>
          </w:p>
        </w:tc>
      </w:tr>
      <w:tr w:rsidR="005E1B09" w:rsidRPr="005E1B09" w:rsidTr="00420D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spacing w:before="100" w:beforeAutospacing="1" w:after="100" w:afterAutospacing="1"/>
              <w:rPr>
                <w:rFonts w:eastAsia="Times New Roman" w:cstheme="minorHAnsi"/>
                <w:sz w:val="24"/>
                <w:szCs w:val="24"/>
                <w:lang w:eastAsia="en-CA"/>
              </w:rPr>
            </w:pPr>
            <w:r w:rsidRPr="005E1B09">
              <w:rPr>
                <w:rFonts w:eastAsia="Times New Roman" w:cstheme="minorHAnsi"/>
                <w:sz w:val="24"/>
                <w:szCs w:val="24"/>
                <w:lang w:eastAsia="en-CA"/>
              </w:rPr>
              <w:t>Ramara</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sz w:val="24"/>
                <w:szCs w:val="24"/>
                <w:lang w:eastAsia="en-CA"/>
              </w:rPr>
            </w:pPr>
            <w:r w:rsidRPr="005E1B09">
              <w:rPr>
                <w:rFonts w:eastAsia="Times New Roman" w:cstheme="minorHAnsi"/>
                <w:sz w:val="24"/>
                <w:szCs w:val="24"/>
                <w:lang w:eastAsia="en-CA"/>
              </w:rPr>
              <w:t>8,030</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spacing w:before="100" w:beforeAutospacing="1" w:after="100" w:afterAutospacing="1"/>
              <w:rPr>
                <w:rFonts w:eastAsia="Times New Roman" w:cstheme="minorHAnsi"/>
                <w:sz w:val="24"/>
                <w:szCs w:val="24"/>
                <w:lang w:eastAsia="en-CA"/>
              </w:rPr>
            </w:pPr>
            <w:r w:rsidRPr="005E1B09">
              <w:rPr>
                <w:rFonts w:eastAsia="Times New Roman" w:cstheme="minorHAnsi"/>
                <w:sz w:val="24"/>
                <w:szCs w:val="24"/>
                <w:lang w:eastAsia="en-CA"/>
              </w:rPr>
              <w:t>9,275</w:t>
            </w:r>
          </w:p>
        </w:tc>
      </w:tr>
      <w:tr w:rsidR="005E1B09" w:rsidRPr="005E1B09" w:rsidTr="00420D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spacing w:before="100" w:beforeAutospacing="1" w:after="100" w:afterAutospacing="1"/>
              <w:rPr>
                <w:rFonts w:eastAsia="Times New Roman" w:cstheme="minorHAnsi"/>
                <w:sz w:val="24"/>
                <w:szCs w:val="24"/>
                <w:lang w:eastAsia="en-CA"/>
              </w:rPr>
            </w:pPr>
            <w:r w:rsidRPr="005E1B09">
              <w:rPr>
                <w:rFonts w:eastAsia="Times New Roman" w:cstheme="minorHAnsi"/>
                <w:sz w:val="24"/>
                <w:szCs w:val="24"/>
                <w:lang w:eastAsia="en-CA"/>
              </w:rPr>
              <w:t>Essa</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sz w:val="24"/>
                <w:szCs w:val="24"/>
                <w:lang w:eastAsia="en-CA"/>
              </w:rPr>
            </w:pPr>
            <w:r w:rsidRPr="005E1B09">
              <w:rPr>
                <w:rFonts w:eastAsia="Times New Roman" w:cstheme="minorHAnsi"/>
                <w:sz w:val="24"/>
                <w:szCs w:val="24"/>
                <w:lang w:eastAsia="en-CA"/>
              </w:rPr>
              <w:t>17,470</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spacing w:before="100" w:beforeAutospacing="1" w:after="100" w:afterAutospacing="1"/>
              <w:rPr>
                <w:rFonts w:eastAsia="Times New Roman" w:cstheme="minorHAnsi"/>
                <w:sz w:val="24"/>
                <w:szCs w:val="24"/>
                <w:lang w:eastAsia="en-CA"/>
              </w:rPr>
            </w:pPr>
            <w:r w:rsidRPr="005E1B09">
              <w:rPr>
                <w:rFonts w:eastAsia="Times New Roman" w:cstheme="minorHAnsi"/>
                <w:sz w:val="24"/>
                <w:szCs w:val="24"/>
                <w:lang w:eastAsia="en-CA"/>
              </w:rPr>
              <w:t> 18,505</w:t>
            </w:r>
          </w:p>
        </w:tc>
      </w:tr>
      <w:tr w:rsidR="005E1B09" w:rsidRPr="005E1B09" w:rsidTr="00420D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spacing w:before="100" w:beforeAutospacing="1" w:after="100" w:afterAutospacing="1"/>
              <w:rPr>
                <w:rFonts w:eastAsia="Times New Roman" w:cstheme="minorHAnsi"/>
                <w:color w:val="FF0000"/>
                <w:sz w:val="24"/>
                <w:szCs w:val="24"/>
                <w:lang w:eastAsia="en-CA"/>
              </w:rPr>
            </w:pPr>
            <w:r w:rsidRPr="005E1B09">
              <w:rPr>
                <w:rFonts w:eastAsia="Times New Roman" w:cstheme="minorHAnsi"/>
                <w:i/>
                <w:iCs/>
                <w:color w:val="FF0000"/>
                <w:sz w:val="24"/>
                <w:szCs w:val="24"/>
                <w:lang w:eastAsia="en-CA"/>
              </w:rPr>
              <w:t>Oro-Medonte</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color w:val="FF0000"/>
                <w:sz w:val="24"/>
                <w:szCs w:val="24"/>
                <w:lang w:eastAsia="en-CA"/>
              </w:rPr>
            </w:pPr>
            <w:r w:rsidRPr="005E1B09">
              <w:rPr>
                <w:rFonts w:eastAsia="Times New Roman" w:cstheme="minorHAnsi"/>
                <w:i/>
                <w:iCs/>
                <w:color w:val="FF0000"/>
                <w:sz w:val="24"/>
                <w:szCs w:val="24"/>
                <w:lang w:eastAsia="en-CA"/>
              </w:rPr>
              <w:t>11,990</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spacing w:before="100" w:beforeAutospacing="1" w:after="100" w:afterAutospacing="1"/>
              <w:rPr>
                <w:rFonts w:eastAsia="Times New Roman" w:cstheme="minorHAnsi"/>
                <w:color w:val="FF0000"/>
                <w:sz w:val="24"/>
                <w:szCs w:val="24"/>
                <w:lang w:eastAsia="en-CA"/>
              </w:rPr>
            </w:pPr>
            <w:r w:rsidRPr="005E1B09">
              <w:rPr>
                <w:rFonts w:eastAsia="Times New Roman" w:cstheme="minorHAnsi"/>
                <w:i/>
                <w:iCs/>
                <w:color w:val="FF0000"/>
                <w:sz w:val="24"/>
                <w:szCs w:val="24"/>
                <w:lang w:eastAsia="en-CA"/>
              </w:rPr>
              <w:t> 20,075</w:t>
            </w:r>
          </w:p>
        </w:tc>
      </w:tr>
      <w:tr w:rsidR="005E1B09" w:rsidRPr="005E1B09" w:rsidTr="00420D5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sz w:val="24"/>
                <w:szCs w:val="24"/>
                <w:lang w:eastAsia="en-CA"/>
              </w:rPr>
            </w:pPr>
            <w:r w:rsidRPr="005E1B09">
              <w:rPr>
                <w:rFonts w:eastAsia="Times New Roman" w:cstheme="minorHAnsi"/>
                <w:sz w:val="24"/>
                <w:szCs w:val="24"/>
                <w:lang w:eastAsia="en-CA"/>
              </w:rPr>
              <w:t>Tay</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rPr>
                <w:rFonts w:eastAsia="Times New Roman" w:cstheme="minorHAnsi"/>
                <w:sz w:val="24"/>
                <w:szCs w:val="24"/>
                <w:lang w:eastAsia="en-CA"/>
              </w:rPr>
            </w:pPr>
            <w:r w:rsidRPr="005E1B09">
              <w:rPr>
                <w:rFonts w:eastAsia="Times New Roman" w:cstheme="minorHAnsi"/>
                <w:sz w:val="24"/>
                <w:szCs w:val="24"/>
                <w:lang w:eastAsia="en-CA"/>
              </w:rPr>
              <w:t>9,880</w:t>
            </w:r>
          </w:p>
        </w:tc>
        <w:tc>
          <w:tcPr>
            <w:tcW w:w="0" w:type="auto"/>
            <w:tcBorders>
              <w:top w:val="outset" w:sz="6" w:space="0" w:color="auto"/>
              <w:left w:val="outset" w:sz="6" w:space="0" w:color="auto"/>
              <w:bottom w:val="outset" w:sz="6" w:space="0" w:color="auto"/>
              <w:right w:val="outset" w:sz="6" w:space="0" w:color="auto"/>
            </w:tcBorders>
            <w:vAlign w:val="center"/>
            <w:hideMark/>
          </w:tcPr>
          <w:p w:rsidR="005E1B09" w:rsidRPr="005E1B09" w:rsidRDefault="005E1B09" w:rsidP="00420D59">
            <w:pPr>
              <w:spacing w:before="100" w:beforeAutospacing="1" w:after="100" w:afterAutospacing="1"/>
              <w:rPr>
                <w:rFonts w:eastAsia="Times New Roman" w:cstheme="minorHAnsi"/>
                <w:sz w:val="24"/>
                <w:szCs w:val="24"/>
                <w:lang w:eastAsia="en-CA"/>
              </w:rPr>
            </w:pPr>
            <w:r w:rsidRPr="005E1B09">
              <w:rPr>
                <w:rFonts w:eastAsia="Times New Roman" w:cstheme="minorHAnsi"/>
                <w:sz w:val="24"/>
                <w:szCs w:val="24"/>
                <w:lang w:eastAsia="en-CA"/>
              </w:rPr>
              <w:t> 9,735</w:t>
            </w:r>
          </w:p>
        </w:tc>
      </w:tr>
    </w:tbl>
    <w:p w:rsidR="005E1B09" w:rsidRDefault="005E1B09" w:rsidP="005E1B09">
      <w:pPr>
        <w:spacing w:before="100" w:beforeAutospacing="1" w:after="100" w:afterAutospacing="1"/>
        <w:rPr>
          <w:rFonts w:eastAsia="Times New Roman" w:cstheme="minorHAnsi"/>
          <w:sz w:val="24"/>
          <w:szCs w:val="24"/>
          <w:lang w:eastAsia="en-CA"/>
        </w:rPr>
      </w:pPr>
      <w:r w:rsidRPr="005E1B09">
        <w:rPr>
          <w:rFonts w:eastAsia="Times New Roman" w:cstheme="minorHAnsi"/>
          <w:sz w:val="24"/>
          <w:szCs w:val="24"/>
          <w:lang w:eastAsia="en-CA"/>
        </w:rPr>
        <w:t>For example if “Oro-Medonte” has amongst all its postal codes 5 that are fairly large but are always in the situation where 40% of the postal code population is in “Oro-Medonte” and 60% is in one of the neighbouring CSDs, the population truly living in these postal code and within the  “Oro-Medonte” boundaries will have been linked to other CSDs.</w:t>
      </w:r>
    </w:p>
    <w:p w:rsidR="00471BA8" w:rsidRDefault="00471BA8" w:rsidP="005E1B09">
      <w:pPr>
        <w:spacing w:before="100" w:beforeAutospacing="1" w:after="100" w:afterAutospacing="1"/>
        <w:rPr>
          <w:rFonts w:eastAsia="Times New Roman" w:cstheme="minorHAnsi"/>
          <w:sz w:val="24"/>
          <w:szCs w:val="24"/>
          <w:lang w:eastAsia="en-CA"/>
        </w:rPr>
      </w:pPr>
    </w:p>
    <w:p w:rsidR="00471BA8" w:rsidRPr="005E1B09" w:rsidRDefault="00471BA8" w:rsidP="005E1B09">
      <w:pPr>
        <w:spacing w:before="100" w:beforeAutospacing="1" w:after="100" w:afterAutospacing="1"/>
        <w:rPr>
          <w:rFonts w:eastAsia="Times New Roman" w:cstheme="minorHAnsi"/>
          <w:sz w:val="24"/>
          <w:szCs w:val="24"/>
          <w:lang w:eastAsia="en-CA"/>
        </w:rPr>
      </w:pPr>
    </w:p>
    <w:p w:rsidR="005E1B09" w:rsidRPr="005E1B09" w:rsidRDefault="00471BA8" w:rsidP="00471BA8">
      <w:pPr>
        <w:ind w:left="-284" w:right="-421"/>
        <w:jc w:val="center"/>
        <w:rPr>
          <w:rFonts w:cstheme="minorHAnsi"/>
          <w:iCs/>
          <w:sz w:val="24"/>
          <w:szCs w:val="24"/>
        </w:rPr>
      </w:pPr>
      <w:r>
        <w:rPr>
          <w:rFonts w:cstheme="minorHAnsi"/>
          <w:iCs/>
          <w:sz w:val="24"/>
          <w:szCs w:val="24"/>
        </w:rPr>
        <w:t xml:space="preserve">Please contact </w:t>
      </w:r>
      <w:hyperlink r:id="rId6" w:history="1">
        <w:r w:rsidRPr="009135AE">
          <w:rPr>
            <w:rStyle w:val="Hyperlink"/>
            <w:rFonts w:cstheme="minorHAnsi"/>
            <w:sz w:val="24"/>
            <w:szCs w:val="24"/>
          </w:rPr>
          <w:t>info@communitydata.ca</w:t>
        </w:r>
      </w:hyperlink>
      <w:r>
        <w:rPr>
          <w:rFonts w:cstheme="minorHAnsi"/>
          <w:iCs/>
          <w:sz w:val="24"/>
          <w:szCs w:val="24"/>
        </w:rPr>
        <w:t xml:space="preserve"> if you have any questions.</w:t>
      </w:r>
    </w:p>
    <w:sectPr w:rsidR="005E1B09" w:rsidRPr="005E1B09" w:rsidSect="00471BA8">
      <w:footerReference w:type="default" r:id="rId7"/>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FB" w:rsidRDefault="008A4AFB" w:rsidP="0045710D">
      <w:r>
        <w:separator/>
      </w:r>
    </w:p>
  </w:endnote>
  <w:endnote w:type="continuationSeparator" w:id="0">
    <w:p w:rsidR="008A4AFB" w:rsidRDefault="008A4AFB" w:rsidP="0045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0D" w:rsidRDefault="0045710D">
    <w:pPr>
      <w:pStyle w:val="Footer"/>
    </w:pPr>
    <w:r>
      <w:t>Source: Statistics Canada, Income Statistics Division, Client Services</w:t>
    </w:r>
  </w:p>
  <w:p w:rsidR="0045710D" w:rsidRDefault="004571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FB" w:rsidRDefault="008A4AFB" w:rsidP="0045710D">
      <w:r>
        <w:separator/>
      </w:r>
    </w:p>
  </w:footnote>
  <w:footnote w:type="continuationSeparator" w:id="0">
    <w:p w:rsidR="008A4AFB" w:rsidRDefault="008A4AFB" w:rsidP="00457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50B7C"/>
    <w:rsid w:val="001628DC"/>
    <w:rsid w:val="001E5100"/>
    <w:rsid w:val="00341523"/>
    <w:rsid w:val="003B11F0"/>
    <w:rsid w:val="003C35C0"/>
    <w:rsid w:val="004031FD"/>
    <w:rsid w:val="0044331C"/>
    <w:rsid w:val="0045710D"/>
    <w:rsid w:val="004653EF"/>
    <w:rsid w:val="00471BA8"/>
    <w:rsid w:val="004A0AFB"/>
    <w:rsid w:val="00541690"/>
    <w:rsid w:val="00597DE3"/>
    <w:rsid w:val="005E1B09"/>
    <w:rsid w:val="005F6C73"/>
    <w:rsid w:val="00617BA2"/>
    <w:rsid w:val="00693FEC"/>
    <w:rsid w:val="006E253E"/>
    <w:rsid w:val="007D1B0A"/>
    <w:rsid w:val="007D2B03"/>
    <w:rsid w:val="00850B7C"/>
    <w:rsid w:val="008A4AFB"/>
    <w:rsid w:val="008D158A"/>
    <w:rsid w:val="00922DEC"/>
    <w:rsid w:val="009830D5"/>
    <w:rsid w:val="00A40658"/>
    <w:rsid w:val="00A604BB"/>
    <w:rsid w:val="00B32080"/>
    <w:rsid w:val="00B42708"/>
    <w:rsid w:val="00BA4C66"/>
    <w:rsid w:val="00BC5180"/>
    <w:rsid w:val="00BD003C"/>
    <w:rsid w:val="00BF0779"/>
    <w:rsid w:val="00C877BF"/>
    <w:rsid w:val="00CC768B"/>
    <w:rsid w:val="00CE6A25"/>
    <w:rsid w:val="00D05D7B"/>
    <w:rsid w:val="00DE2472"/>
    <w:rsid w:val="00F21D90"/>
    <w:rsid w:val="00F537D4"/>
    <w:rsid w:val="00FA71DB"/>
    <w:rsid w:val="00FD0C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1A4E1-3A5F-41E5-8F43-CBD0DAA4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2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710D"/>
    <w:pPr>
      <w:tabs>
        <w:tab w:val="center" w:pos="4680"/>
        <w:tab w:val="right" w:pos="9360"/>
      </w:tabs>
    </w:pPr>
  </w:style>
  <w:style w:type="character" w:customStyle="1" w:styleId="HeaderChar">
    <w:name w:val="Header Char"/>
    <w:basedOn w:val="DefaultParagraphFont"/>
    <w:link w:val="Header"/>
    <w:uiPriority w:val="99"/>
    <w:semiHidden/>
    <w:rsid w:val="0045710D"/>
  </w:style>
  <w:style w:type="paragraph" w:styleId="Footer">
    <w:name w:val="footer"/>
    <w:basedOn w:val="Normal"/>
    <w:link w:val="FooterChar"/>
    <w:uiPriority w:val="99"/>
    <w:unhideWhenUsed/>
    <w:rsid w:val="0045710D"/>
    <w:pPr>
      <w:tabs>
        <w:tab w:val="center" w:pos="4680"/>
        <w:tab w:val="right" w:pos="9360"/>
      </w:tabs>
    </w:pPr>
  </w:style>
  <w:style w:type="character" w:customStyle="1" w:styleId="FooterChar">
    <w:name w:val="Footer Char"/>
    <w:basedOn w:val="DefaultParagraphFont"/>
    <w:link w:val="Footer"/>
    <w:uiPriority w:val="99"/>
    <w:rsid w:val="0045710D"/>
  </w:style>
  <w:style w:type="paragraph" w:styleId="BalloonText">
    <w:name w:val="Balloon Text"/>
    <w:basedOn w:val="Normal"/>
    <w:link w:val="BalloonTextChar"/>
    <w:uiPriority w:val="99"/>
    <w:semiHidden/>
    <w:unhideWhenUsed/>
    <w:rsid w:val="0045710D"/>
    <w:rPr>
      <w:rFonts w:ascii="Tahoma" w:hAnsi="Tahoma" w:cs="Tahoma"/>
      <w:sz w:val="16"/>
      <w:szCs w:val="16"/>
    </w:rPr>
  </w:style>
  <w:style w:type="character" w:customStyle="1" w:styleId="BalloonTextChar">
    <w:name w:val="Balloon Text Char"/>
    <w:basedOn w:val="DefaultParagraphFont"/>
    <w:link w:val="BalloonText"/>
    <w:uiPriority w:val="99"/>
    <w:semiHidden/>
    <w:rsid w:val="0045710D"/>
    <w:rPr>
      <w:rFonts w:ascii="Tahoma" w:hAnsi="Tahoma" w:cs="Tahoma"/>
      <w:sz w:val="16"/>
      <w:szCs w:val="16"/>
    </w:rPr>
  </w:style>
  <w:style w:type="character" w:styleId="Hyperlink">
    <w:name w:val="Hyperlink"/>
    <w:basedOn w:val="DefaultParagraphFont"/>
    <w:uiPriority w:val="99"/>
    <w:unhideWhenUsed/>
    <w:rsid w:val="0047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mmunitydata.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Statistics Canada</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pagefra</dc:creator>
  <cp:lastModifiedBy>Michael Ditor</cp:lastModifiedBy>
  <cp:revision>8</cp:revision>
  <dcterms:created xsi:type="dcterms:W3CDTF">2014-11-17T13:43:00Z</dcterms:created>
  <dcterms:modified xsi:type="dcterms:W3CDTF">2017-01-28T02:28:00Z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-1556058547</vt:i4>
  </property>
  <property fmtid="{D5CDD505-2E9C-101B-9397-08002B2CF9AE}" pid="3" name="_NewReviewCycle">
    <vt:lpwstr/>
  </property>
  <property fmtid="{D5CDD505-2E9C-101B-9397-08002B2CF9AE}" pid="4" name="_EmailSubject">
    <vt:lpwstr>assessing the quality of T1FF data at the CSD level</vt:lpwstr>
  </property>
  <property fmtid="{D5CDD505-2E9C-101B-9397-08002B2CF9AE}" pid="5" name="_AuthorEmail">
    <vt:lpwstr>kirstin.elliott@canada.ca</vt:lpwstr>
  </property>
  <property fmtid="{D5CDD505-2E9C-101B-9397-08002B2CF9AE}" pid="6" name="_AuthorEmailDisplayName">
    <vt:lpwstr>Elliott, Kirstin (STATCAN)</vt:lpwstr>
  </property>
  <property fmtid="{D5CDD505-2E9C-101B-9397-08002B2CF9AE}" pid="7" name="_PreviousAdHocReviewCycleID">
    <vt:i4>963636472</vt:i4>
  </property>
  <property fmtid="{D5CDD505-2E9C-101B-9397-08002B2CF9AE}" pid="8" name="_ReviewingToolsShownOnce">
    <vt:lpwstr/>
  </property>
</Properties>
</file>